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Interní komunikace a employee engagement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