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Využití sociálních sítí a influencer marketing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