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Krízová komunikácia, komunikácia zmeny a public affairs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