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Najlepšia agentúra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